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W w:w="15708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  <w:tblLayout w:type="fixed"/>
      </w:tblPr>
      <w:tblGrid>
        <w:gridCol w:w="5026"/>
        <w:gridCol w:w="2356"/>
        <w:gridCol w:w="942"/>
        <w:gridCol w:w="5026"/>
        <w:gridCol w:w="2356"/>
      </w:tblGrid>
      <w:tr>
        <w:tc>
          <w:tcPr>
            <w:tcW w:type="dxa" w:w="7382"/>
            <w:gridSpan w:val="2"/>
            <w:vAlign w:val="top"/>
            <w:vAlign w:val="top"/>
            <w:vAlign w:val="top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>СОГЛАСОВАНО</w:t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Заместитель руководителя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КАЗНАЧЕЙСТВА РОССИИ</w:t>
            </w:r>
          </w:p>
        </w:tc>
        <w:tc>
          <w:tcPr>
            <w:tcW w:type="dxa" w:w="942"/>
          </w:tcPr>
          <w:p>
            <w:pPr>
              <w:spacing w:before="0" w:after="0" w:lineRule="auto" w:line="240"/>
              <w:ind w:right="0" w:left="0" w:firstLine="0"/>
              <w:jc w:val="both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</w:p>
        </w:tc>
        <w:tc>
          <w:tcPr>
            <w:tcW w:type="dxa" w:w="7382"/>
            <w:gridSpan w:val="2"/>
            <w:vAlign w:val="top"/>
            <w:vAlign w:val="top"/>
            <w:vAlign w:val="top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>УТВЕРЖДАЮ</w:t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Руководитель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УФК ПО ВЛАДИМИРСКОЙ ОБЛАСТИ</w:t>
            </w:r>
          </w:p>
        </w:tc>
      </w:tr>
      <w:tr>
        <w:tc>
          <w:tcPr>
            <w:tcW w:type="dxa" w:w="5026"/>
            <w:vAlign w:val="center"/>
          </w:tcPr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</w:r>
            <w:r>
              <w:rPr/>
            </w:r>
            <w:r>
              <w:rPr>
                <w:sz w:val="-2"/>
                <w:u w:val="none"/>
                <w:color w:val="000000"/>
              </w:rPr>
              <w:drawing>
                <wp:inline distT="0" distR="0" distB="0" distL="0">
                  <wp:extent cx="2520000" cy="1063081"/>
                  <wp:docPr id="0" name="Drawing 0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356"/>
            <w:vAlign w:val="center"/>
          </w:tcPr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 xml:space="preserve"> 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Э. А. Исаев</w:t>
            </w:r>
          </w:p>
        </w:tc>
        <w:tc>
          <w:tcPr>
            <w:tcW w:type="dxa" w:w="942"/>
          </w:tcPr>
          <w:p>
            <w:pPr>
              <w:spacing w:before="0" w:after="0" w:lineRule="auto" w:line="240"/>
              <w:ind w:right="0" w:left="0" w:firstLine="0"/>
              <w:jc w:val="both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</w:p>
        </w:tc>
        <w:tc>
          <w:tcPr>
            <w:tcW w:type="dxa" w:w="5026"/>
            <w:vAlign w:val="center"/>
            <w:vAlign w:val="center"/>
            <w:vAlign w:val="center"/>
          </w:tcPr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</w:r>
            <w:r>
              <w:rPr/>
            </w:r>
            <w:r>
              <w:rPr>
                <w:sz w:val="-2"/>
                <w:u w:val="none"/>
                <w:color w:val="000000"/>
              </w:rPr>
              <w:drawing>
                <wp:inline distT="0" distR="0" distB="0" distL="0">
                  <wp:extent cx="2520000" cy="1063081"/>
                  <wp:docPr id="1" name="Drawing 1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righ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</w:tc>
        <w:tc>
          <w:tcPr>
            <w:tcW w:type="dxa" w:w="2356"/>
            <w:vAlign w:val="center"/>
            <w:vAlign w:val="center"/>
            <w:vAlign w:val="center"/>
          </w:tcPr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 xml:space="preserve"> 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С. Н. Загваздина</w:t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left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</w:tc>
      </w:tr>
      <w:tr>
        <w:tc>
          <w:tcPr>
            <w:tcW w:type="dxa" w:w="7382"/>
            <w:gridSpan w:val="2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26 декабря 2023 г.</w:t>
            </w:r>
          </w:p>
        </w:tc>
        <w:tc>
          <w:tcPr>
            <w:tcW w:type="dxa" w:w="942"/>
          </w:tcPr>
          <w:p>
            <w:pPr>
              <w:spacing w:before="0" w:after="0" w:lineRule="auto" w:line="240"/>
              <w:ind w:right="0" w:left="0" w:firstLine="0"/>
              <w:jc w:val="both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</w:p>
        </w:tc>
        <w:tc>
          <w:tcPr>
            <w:tcW w:type="dxa" w:w="7382"/>
            <w:gridSpan w:val="2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21 декабря 2023 г.</w:t>
            </w:r>
          </w:p>
        </w:tc>
      </w:tr>
    </w:tbl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/>
      </w:r>
    </w:p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>График</w:t>
      </w:r>
    </w:p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/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проведения </w:t>
      </w:r>
      <w:r>
        <w:rPr>
          <w:sz w:val="24"/>
          <w:rFonts w:ascii="Times New Roman" w:hAnsi="Times New Roman" w:cs="Times New Roman" w:eastAsia="Times New Roman"/>
          <w:u w:val="none"/>
          <w:color w:val="000000"/>
          <w:b w:val="on"/>
        </w:rPr>
        <w:t>УПРАВЛЕНИЕМ ФЕДЕРАЛЬНОГО КАЗНАЧЕЙСТВА ПО ВЛАДИМИРСКОЙ ОБЛАСТИ</w:t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</w:t>
      </w:r>
      <w:r>
        <w:rPr>
          <w:sz w:val="24"/>
          <w:rFonts w:ascii="Times New Roman" w:hAnsi="Times New Roman" w:cs="Times New Roman" w:eastAsia="Times New Roman"/>
          <w:u w:val="none"/>
          <w:color w:val="000000"/>
          <w:b w:val="on"/>
        </w:rPr>
        <w:t>2024</w:t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 xml:space="preserve"> год</w:t>
      </w:r>
    </w:p>
    <w:p>
      <w:pPr>
        <w:spacing w:before="0" w:after="0" w:lineRule="auto" w:line="240"/>
        <w:ind w:right="0" w:left="0" w:firstLine="0"/>
        <w:jc w:val="center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  <w:b w:val="on"/>
        </w:rPr>
        <w:t/>
      </w:r>
    </w:p>
    <w:tbl>
      <w:tblPr>
        <w:tblStyle w:val="preHeaderTableStyle"/>
        <w:tblW w:w="15708" w:type="dxa"/>
        <w:tblBorders>
          <w:top w:val="single" w:sz="8"/>
          <w:left w:val="single" w:sz="8"/>
          <w:bottom w:val="none" w:sz="8"/>
          <w:right w:val="single" w:sz="8"/>
          <w:insideH w:val="single" w:sz="8"/>
          <w:insideV w:val="single" w:sz="8"/>
        </w:tblBorders>
        <w:tblLayout w:type="fixed"/>
      </w:tblPr>
      <w:tblGrid>
        <w:gridCol w:w="1099"/>
        <w:gridCol w:w="8325"/>
        <w:gridCol w:w="3141"/>
        <w:gridCol w:w="3141"/>
      </w:tblGrid>
      <w:tr>
        <w:tc>
          <w:tcPr>
            <w:tcW w:type="dxa" w:w="1099"/>
            <w:tcBorders>
              <w:bottom w:val="none"/>
            </w:tcBorders>
            <w:vAlign w:val="center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>№</w:t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>п/п</w:t>
            </w:r>
          </w:p>
        </w:tc>
        <w:tc>
          <w:tcPr>
            <w:tcW w:type="dxa" w:w="8325"/>
            <w:tcBorders>
              <w:bottom w:val="none"/>
            </w:tcBorders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>Полное наименование органа контроля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>¹</w:t>
            </w:r>
          </w:p>
        </w:tc>
        <w:tc>
          <w:tcPr>
            <w:tcW w:type="dxa" w:w="3141"/>
            <w:tcBorders>
              <w:bottom w:val="none"/>
            </w:tcBorders>
            <w:vAlign w:val="center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>Планируемый период проведения Анализа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>²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 xml:space="preserve">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>(с мм.гггг по мм.гггг)</w:t>
            </w:r>
          </w:p>
        </w:tc>
        <w:tc>
          <w:tcPr>
            <w:tcW w:type="dxa" w:w="3141"/>
            <w:tcBorders>
              <w:bottom w:val="none"/>
            </w:tcBorders>
            <w:vAlign w:val="center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>Анализируемый период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>³</w:t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b w:val="on"/>
              </w:rPr>
              <w:t xml:space="preserve"> (с мм.гггг по мм.гггг)</w:t>
            </w:r>
          </w:p>
        </w:tc>
      </w:tr>
    </w:tbl>
    <w:tbl>
      <w:tblPr>
        <w:tblW w:w="15708" w:type="dxa"/>
        <w:tblBorders>
          <w:top w:val="single" w:sz="8"/>
          <w:left w:val="single" w:sz="8"/>
          <w:bottom w:val="single" w:sz="8"/>
          <w:right w:val="single" w:sz="8"/>
          <w:insideH w:val="single" w:sz="8"/>
          <w:insideV w:val="single" w:sz="8"/>
        </w:tblBorders>
        <w:tblLayout w:type="fixed"/>
      </w:tblPr>
      <w:tblGrid>
        <w:gridCol w:w="1099"/>
        <w:gridCol w:w="8325"/>
        <w:gridCol w:w="3141"/>
        <w:gridCol w:w="3141"/>
      </w:tblGrid>
      <w:tr>
        <w:trPr>
          <w:tblHeader/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>1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>2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>3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>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ФИНАНСОВЫЙ ОТДЕЛ АДМИНИСТРАЦИИ Г.СОБИНКИ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12.2023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2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ВЯТКИНСКОЕ СЕЛЬСКОЕ ПОСЕЛЕНИЕ СУДОГОДСКОГО РАЙОНА ВЛАДИМИРСКОЙ ОБЛАСТИ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12.2023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3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ПОСЕЛКА СТАВРОВО СОБИНСКОГО РАЙОНА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02.2024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12.2023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4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ИВАНОВСКОГО СЕЛЬСКОГО ПОСЕЛЕНИЯ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02.2024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04.2024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12.2023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5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ГОРОД ЛАКИНСК СОБИНСКОГО РАЙОНА ВЛАДИМИРСКОЙ ОБЛАСТИ (ГОРОДСКОЕ ПОСЕЛЕНИЕ)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04.2024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12.2023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6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СИМСКОЕ ЮРЬЕВ-ПОЛЬСКОГО РАЙОНА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04.2024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12.2023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7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ТОЛПУХОВСКОЕ СОБИНСКОГО РАЙОНА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04.2024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05.2024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8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БОГОЛЮБОВСКОЕ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04.2024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05.2024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9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ГОЛОВИНСКОЕ СЕЛЬСКОЕ ПОСЕЛЕНИЕ СУДОГОДСКОГО РАЙОНА ВЛАДИМИРСКОЙ ОБЛАСТИ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04.2024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06.2024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10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КОНТРОЛЬНО-РЕВИЗИОННАЯ ИНСПЕКЦИЯ ВЛАДИМИРСКОЙ ОБЛАСТИ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04.2024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06.2024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12.2023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11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ФИНАНСОВОЕ УПРАВЛЕНИЕ АДМИНИСТРАЦИИ МУНИЦИПАЛЬНОГО ОБРАЗОВАНИЯ ВЯЗНИКОВСКИЙ РАЙОН ВЛАДИМИРСКОЙ ОБЛАСТИ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05.2024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07.2024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03.2024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МУНИЦИПАЛЬНОЕ КАЗЕННОЕ УЧРЕЖДЕНИЕ "АДМИНИСТРАЦИЯ МУНИЦИПАЛЬНОГО ОБРАЗОВАНИЯ ГОРОДСКОЕ ПОСЕЛЕНИЕ ПОСЕЛОК ДОБРОГРАД КОВРОВСКОГО МУНИЦИПАЛЬНОГО РАЙОНА"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07.2024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08.2024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06.2024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13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ПОСЕЛКА МЕЛЕХОВО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08.2024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06.2024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14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ГРИГОРЬЕВСКОЕ (СЕЛЬСКОЕ ПОСЕЛЕНИЕ) ГУСЬ-ХРУСТАЛЬНОГО РАЙОНА ВЛАДИМИРСКОЙ ОБЛАСТИ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08.2024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06.2024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15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ПОСЕЛОК ДОБРЯТИНО (СЕЛЬСКОЕ ПОСЕЛЕНИЕ) ГУСЬ-ХРУСТАЛЬНОГО РАЙОНА ВЛАДИМИРСКОЙ ОБЛАСТИ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08.2024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06.2024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16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КРАСНОСЕЛЬСКОЕ ЮРЬЕВ-ПОЛЬСКОГО РАЙОНА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10.2024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06.2024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17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НЕБЫЛОВСКОЕ ЮРЬЕВ-ПОЛЬСКОГО РАЙОНА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10.2024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11.2024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18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ПОСЕЛОК ЗОЛОТКОВО (СЕЛЬСКОЕ ПОСЕЛЕНИЕ) ГУСЬ-ХРУСТАЛЬНОГО РАЙОНА ВЛАДИМИРСКОЙ ОБЛАСТИ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10.2024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11.2024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19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СЕЛЬСКОЕ ПОСЕЛЕНИЕ КИПРЕВСКОЕ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10.2024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20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ПЕРШИНСКОЕ КИРЖАЧСКОГО РАЙОНА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11.2024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</w:tr>
      <w:tr>
        <w:trPr>
          <w:cantSplit w:val="on"/>
        </w:trPr>
        <w:tc>
          <w:tcPr>
            <w:tcW w:type="dxa" w:w="1099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21</w:t>
            </w:r>
          </w:p>
        </w:tc>
        <w:tc>
          <w:tcPr>
            <w:tcW w:type="dxa" w:w="8325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АДМИНИСТРАЦИЯ МУНИЦИПАЛЬНОГО ОБРАЗОВАНИЯ ФИЛИППОВСКОЕ КИРЖАЧСКОГО РАЙОНА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11.2024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12.2024</w:t>
            </w:r>
          </w:p>
        </w:tc>
        <w:tc>
          <w:tcPr>
            <w:tcW w:type="dxa" w:w="3141"/>
            <w:vAlign w:val="center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0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с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01.2023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</w:rPr>
              <w:t xml:space="preserve"> по </w:t>
            </w:r>
            <w:r>
              <w:rPr>
                <w:sz w:val="20"/>
                <w:rFonts w:ascii="Times New Roman" w:hAnsi="Times New Roman" w:cs="Times New Roman" w:eastAsia="Times New Roman"/>
                <w:u w:val="none"/>
                <w:color w:val="000000"/>
              </w:rPr>
              <w:t>09.2024</w:t>
            </w:r>
          </w:p>
        </w:tc>
      </w:tr>
    </w:tbl>
    <w:p>
      <w:pPr>
        <w:spacing w:before="0" w:after="0" w:lineRule="auto" w:line="240"/>
        <w:ind w:right="0" w:left="0" w:firstLine="0"/>
        <w:jc w:val="both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</w:rPr>
        <w:t/>
      </w:r>
    </w:p>
    <w:p>
      <w:pPr>
        <w:spacing w:before="0" w:after="0" w:lineRule="auto" w:line="240"/>
        <w:ind w:right="0" w:left="0" w:firstLine="0"/>
        <w:jc w:val="both"/>
      </w:pPr>
      <w:r>
        <w:rPr/>
      </w:r>
      <w:r>
        <w:rPr>
          <w:sz w:val="24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4"/>
          <w:rFonts w:ascii="Times New Roman" w:hAnsi="Times New Roman" w:cs="Times New Roman" w:eastAsia="Times New Roman"/>
          <w:u w:val="none"/>
        </w:rPr>
        <w:t/>
      </w:r>
    </w:p>
    <w:tbl>
      <w:tblPr>
        <w:tblW w:w="15708" w:type="dxa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  <w:tblLayout w:type="fixed"/>
      </w:tblPr>
      <w:tblGrid>
        <w:gridCol w:w="6283"/>
        <w:gridCol w:w="4712"/>
        <w:gridCol w:w="4712"/>
      </w:tblGrid>
      <w:tr>
        <w:trPr>
          <w:cantSplit w:val="on"/>
        </w:trPr>
        <w:tc>
          <w:tcPr>
            <w:tcW w:type="dxa" w:w="6283"/>
            <w:tcBorders>
              <w:right w:color="000000" w:sz="0" w:val="none"/>
            </w:tcBorders>
            <w:vAlign w:val="bottom"/>
          </w:tcPr>
          <w:p>
            <w:pPr>
              <w:spacing w:before="0" w:after="0" w:lineRule="auto" w:line="240"/>
              <w:ind w:right="0" w:left="0" w:firstLine="0"/>
              <w:jc w:val="both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Начальник отдела внутреннего контроля и аудита</w:t>
            </w:r>
          </w:p>
        </w:tc>
        <w:tc>
          <w:tcPr>
            <w:tcW w:type="dxa" w:w="4712"/>
            <w:tcBorders>
              <w:left w:color="000000" w:sz="0" w:val="none"/>
              <w:right w:color="000000" w:sz="0" w:val="none"/>
            </w:tcBorders>
            <w:vAlign w:val="bottom"/>
            <w:vAlign w:val="bottom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</w:p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  <w:t/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</w:r>
            <w:r>
              <w:rPr/>
            </w:r>
            <w:r>
              <w:rPr>
                <w:sz w:val="-2"/>
                <w:u w:val="none"/>
                <w:color w:val="000000"/>
              </w:rPr>
              <w:drawing>
                <wp:inline distT="0" distR="0" distB="0" distL="0">
                  <wp:extent cx="2520000" cy="1063081"/>
                  <wp:docPr id="2" name="Drawing 2" descr="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0" cy="1063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12"/>
            <w:tcBorders>
              <w:left w:color="000000" w:sz="0" w:val="none"/>
            </w:tcBorders>
            <w:vAlign w:val="bottom"/>
          </w:tcPr>
          <w:p>
            <w:pPr>
              <w:spacing w:before="0" w:after="0" w:lineRule="auto" w:line="240"/>
              <w:ind w:right="0" w:left="0" w:firstLine="0"/>
              <w:jc w:val="center"/>
            </w:pP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  <w:t/>
            </w:r>
            <w:r>
              <w:rPr/>
            </w:r>
            <w:r>
              <w:rPr>
                <w:sz w:val="24"/>
                <w:u w:val="none"/>
                <w:rFonts w:ascii="Times New Roman" w:hAnsi="Times New Roman" w:cs="Times New Roman" w:eastAsia="Times New Roman"/>
                <w:b w:val="off"/>
                <w:i w:val="off"/>
                <w:strike w:val="off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</w:rPr>
            </w:r>
            <w:r>
              <w:rPr>
                <w:sz w:val="24"/>
                <w:rFonts w:ascii="Times New Roman" w:hAnsi="Times New Roman" w:cs="Times New Roman" w:eastAsia="Times New Roman"/>
                <w:u w:val="none"/>
                <w:color w:val="000000"/>
              </w:rPr>
              <w:t>М. В. Устюхина</w:t>
            </w:r>
          </w:p>
        </w:tc>
      </w:tr>
    </w:tbl>
    <w:p>
      <w:pPr>
        <w:spacing w:before="0" w:after="0" w:lineRule="auto" w:line="240"/>
        <w:ind w:right="0" w:left="0" w:firstLine="0"/>
        <w:jc w:val="left"/>
      </w:pPr>
      <w:r>
        <w:rPr/>
      </w:r>
      <w:r>
        <w:rPr>
          <w:sz w:val="20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0"/>
          <w:rFonts w:ascii="Times New Roman" w:hAnsi="Times New Roman" w:cs="Times New Roman" w:eastAsia="Times New Roman"/>
          <w:u w:val="none"/>
        </w:rPr>
        <w:t xml:space="preserve">        _______________________</w:t>
      </w:r>
    </w:p>
    <w:p>
      <w:pPr>
        <w:spacing w:before="0" w:after="0" w:lineRule="auto" w:line="240"/>
        <w:ind w:right="0" w:left="0" w:firstLine="0"/>
        <w:jc w:val="left"/>
      </w:pPr>
      <w:r>
        <w:rPr/>
      </w:r>
      <w:r>
        <w:rPr>
          <w:sz w:val="20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0"/>
          <w:rFonts w:ascii="Times New Roman" w:hAnsi="Times New Roman" w:cs="Times New Roman" w:eastAsia="Times New Roman"/>
          <w:u w:val="none"/>
        </w:rPr>
        <w:t/>
      </w:r>
      <w:r>
        <w:rPr>
          <w:sz w:val="20"/>
          <w:rFonts w:ascii="Times New Roman" w:hAnsi="Times New Roman" w:cs="Times New Roman" w:eastAsia="Times New Roman"/>
          <w:u w:val="none"/>
        </w:rPr>
        <w:t xml:space="preserve">        ¹ Орган государственного (муниципального) финансового контроля, являющийся исполнительным органом субъекта Российской Федерации (органом местной администрации);</w:t>
      </w:r>
    </w:p>
    <w:p>
      <w:pPr>
        <w:spacing w:before="0" w:after="0" w:lineRule="auto" w:line="240"/>
        <w:ind w:right="0" w:left="0" w:firstLine="0"/>
        <w:jc w:val="left"/>
      </w:pPr>
      <w:r>
        <w:rPr/>
      </w:r>
      <w:r>
        <w:rPr>
          <w:sz w:val="20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0"/>
          <w:rFonts w:ascii="Times New Roman" w:hAnsi="Times New Roman" w:cs="Times New Roman" w:eastAsia="Times New Roman"/>
          <w:u w:val="none"/>
        </w:rPr>
        <w:t/>
      </w:r>
      <w:r>
        <w:rPr>
          <w:sz w:val="20"/>
          <w:rFonts w:ascii="Times New Roman" w:hAnsi="Times New Roman" w:cs="Times New Roman" w:eastAsia="Times New Roman"/>
          <w:u w:val="none"/>
        </w:rPr>
        <w:t xml:space="preserve">        ² Анализ исполнения бюджетных полномочий органа государственного (муниципального) финансового контроля, являющегося исполнительным органом субъекта Российской Федерации (органом местной администрации);</w:t>
      </w:r>
    </w:p>
    <w:p>
      <w:pPr>
        <w:spacing w:before="0" w:after="0" w:lineRule="auto" w:line="240"/>
        <w:ind w:right="0" w:left="0" w:firstLine="0"/>
        <w:jc w:val="left"/>
      </w:pPr>
      <w:r>
        <w:rPr/>
      </w:r>
      <w:r>
        <w:rPr>
          <w:sz w:val="20"/>
          <w:u w:val="none"/>
          <w:rFonts w:ascii="Times New Roman" w:hAnsi="Times New Roman" w:cs="Times New Roman" w:eastAsia="Times New Roman"/>
          <w:b w:val="off"/>
          <w:i w:val="off"/>
          <w:strike w:val="off"/>
        </w:rPr>
      </w:r>
      <w:r>
        <w:rPr>
          <w:sz w:val="20"/>
          <w:rFonts w:ascii="Times New Roman" w:hAnsi="Times New Roman" w:cs="Times New Roman" w:eastAsia="Times New Roman"/>
          <w:u w:val="none"/>
        </w:rPr>
        <w:t/>
      </w:r>
      <w:r>
        <w:rPr>
          <w:sz w:val="20"/>
          <w:rFonts w:ascii="Times New Roman" w:hAnsi="Times New Roman" w:cs="Times New Roman" w:eastAsia="Times New Roman"/>
          <w:u w:val="none"/>
        </w:rPr>
        <w:t xml:space="preserve">        ³ Период исполнения бюджетных полномочий органа контроля, подлежащий исследованию в ходе проведения Анализа.</w:t>
      </w:r>
    </w:p>
    <w:sectPr>
      <w:footerReference w:type="default" r:id="rId2"/>
      <w:pgSz w:orient="landscape" w:w="16840" w:h="11900"/>
      <w:pgMar w:left="566" w:right="566" w:top="1133" w:bottom="1133"/>
      <w:titlePg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t/>
    </w:r>
    <w:fldSimple w:instr="PAGE"/>
  </w:p>
</w:ftr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preHeaderTableStyle" w:type="table"/>
  <w:style w:styleId="Metadata">
    <w:name w:val="Версия сервера генератора печатных документов: 14.42 Версия клиента генератора печатных документов: 14.0.32 Текущий пользователь: UstyuhinaMV@fsfk.local Данные о генерации: DataSourceProvider: ru.krista.retools.reporting.print.doc.editor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fkm.common.printdoc.FkcFunctionProvider * ru.krista.retools.reporting.print.doc.editor.RetoolsFunctionProvider "/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oter1.xml" Type="http://schemas.openxmlformats.org/officeDocument/2006/relationships/footer"/><Relationship Id="rId3" Target="media/image1.png" Type="http://schemas.openxmlformats.org/officeDocument/2006/relationships/image"/><Relationship Id="rId4" Target="media/image2.png" Type="http://schemas.openxmlformats.org/officeDocument/2006/relationships/image"/><Relationship Id="rId5" Target="styles.xml" Type="http://schemas.openxmlformats.org/officeDocument/2006/relationships/styles"/><Relationship Id="rId6" Target="media/image3.png" Type="http://schemas.openxmlformats.org/officeDocument/2006/relationships/image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2023-12-27T14:57:48Z</dcterms:created>
  <dc:creator>Apache POI</dc:creator>
</cp:coreProperties>
</file>